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1617980</wp:posOffset>
            </wp:positionH>
            <wp:positionV relativeFrom="paragraph">
              <wp:posOffset>-1200149</wp:posOffset>
            </wp:positionV>
            <wp:extent cx="2505322" cy="3543300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5322" cy="3543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‘Caged Byrd’: 5 Catholic Feasts through Spring and Summer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Easter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‘Kyrie and Gloria’ from Mass for 3 Voices (William Byrd) 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Terra Tremuit (Byrd) 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O Taste and See (Piers Kennedy)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Ascension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Ascendit Deus in Jubilatione (Byrd) 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Ad te, Domine (Anna Semple) 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Pentecost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Ah, Robyn (William Cornysh) // Thou Shalt Know (Anna Semple) 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Spiritus Domini (Byrd) 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 Peter and St Paul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‘Sanctus and Benedictus’ from Mass for 3 Voices (Byrd) 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Tu es Pastor Ovium (Byrd) 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‘Tu es Petrus’ from St Peter’s Triptych (Kennedy)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Assumption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Assumpta est Maria (Byrd) 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Magnificat from ‘Worcester Canticles’ (Kennedy) 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‘Agnus Dei’ from Mass for 3 Voices (Byrd) 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xmAAQuT7YViIjHuM1fj8HlKOWw==">CgMxLjAyCGguZ2pkZ3hzOAByITFrU0FxSnRvS3RpRXZyWk01VGU0U051OEZYaC1UZVFNMA==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2023-01-09T16:01:00Z</dcterms:created>
  <dc:creator>Daniel Gethin</dc:creator>
</cp:coreProperties>
</file>